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0F" w:rsidRDefault="00A31B0F" w:rsidP="00A31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-417195</wp:posOffset>
            </wp:positionV>
            <wp:extent cx="654050" cy="862965"/>
            <wp:effectExtent l="0" t="0" r="0" b="0"/>
            <wp:wrapNone/>
            <wp:docPr id="1" name="Imagen 1" descr="mesa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esas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4" r="16623" b="1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4"/>
          <w:lang w:eastAsia="es-ES"/>
        </w:rPr>
        <w:t>Plaza de España, 1</w:t>
      </w:r>
    </w:p>
    <w:p w:rsidR="00A31B0F" w:rsidRDefault="00A31B0F" w:rsidP="00A31B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es-ES"/>
        </w:rPr>
        <w:t>Tlf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es-ES"/>
        </w:rPr>
        <w:t>. 927 57 48 09 Fax. 927 57 48 00</w:t>
      </w:r>
    </w:p>
    <w:p w:rsidR="00A31B0F" w:rsidRDefault="00A31B0F" w:rsidP="00A3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es-ES"/>
        </w:rPr>
        <w:t>10329 – Mesas de Ibor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(Cáceres)</w:t>
      </w:r>
    </w:p>
    <w:p w:rsidR="00A31B0F" w:rsidRDefault="00A31B0F" w:rsidP="00A31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175895</wp:posOffset>
                </wp:positionV>
                <wp:extent cx="4635500" cy="73342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B0F" w:rsidRDefault="00A31B0F" w:rsidP="00A31B0F">
                            <w:pPr>
                              <w:pStyle w:val="Ttulo1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  AYUNTAMIENTO DE MESAS DE IBOR</w:t>
                            </w:r>
                          </w:p>
                          <w:p w:rsidR="00A31B0F" w:rsidRDefault="00A31B0F" w:rsidP="00A31B0F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C.I.F. P-1012300-H</w:t>
                            </w:r>
                          </w:p>
                          <w:p w:rsidR="00A31B0F" w:rsidRDefault="00A31B0F" w:rsidP="00A31B0F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31B0F" w:rsidRDefault="00A31B0F" w:rsidP="00A31B0F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4.7pt;margin-top:13.85pt;width:36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" filled="f" stroked="f">
                <v:textbox>
                  <w:txbxContent>
                    <w:p w:rsidR="00A31B0F" w:rsidRDefault="00A31B0F" w:rsidP="00A31B0F">
                      <w:pPr>
                        <w:pStyle w:val="Ttulo1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  AYUNTAMIENTO DE MESAS DE IBOR</w:t>
                      </w:r>
                    </w:p>
                    <w:p w:rsidR="00A31B0F" w:rsidRDefault="00A31B0F" w:rsidP="00A31B0F">
                      <w:pPr>
                        <w:spacing w:line="36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C.I.F. P-1012300-H</w:t>
                      </w:r>
                    </w:p>
                    <w:p w:rsidR="00A31B0F" w:rsidRDefault="00A31B0F" w:rsidP="00A31B0F">
                      <w:pPr>
                        <w:spacing w:line="360" w:lineRule="auto"/>
                        <w:jc w:val="center"/>
                        <w:rPr>
                          <w:sz w:val="18"/>
                        </w:rPr>
                      </w:pPr>
                    </w:p>
                    <w:p w:rsidR="00A31B0F" w:rsidRDefault="00A31B0F" w:rsidP="00A31B0F">
                      <w:pPr>
                        <w:spacing w:line="36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aytomesas@gmail.com</w:t>
      </w:r>
    </w:p>
    <w:p w:rsidR="00A31B0F" w:rsidRDefault="00A31B0F" w:rsidP="00A31B0F">
      <w:pPr>
        <w:tabs>
          <w:tab w:val="center" w:pos="4819"/>
          <w:tab w:val="right" w:pos="9071"/>
        </w:tabs>
        <w:spacing w:after="0" w:line="240" w:lineRule="auto"/>
        <w:rPr>
          <w:rFonts w:ascii="Courier 10cpi" w:eastAsia="Times New Roman" w:hAnsi="Courier 10cpi" w:cs="Times New Roman"/>
          <w:sz w:val="20"/>
          <w:szCs w:val="20"/>
          <w:lang w:val="es-ES_tradnl"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200025</wp:posOffset>
                </wp:positionV>
                <wp:extent cx="2057400" cy="8001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B0F" w:rsidRDefault="00A31B0F" w:rsidP="00A31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279pt;margin-top:15.75pt;width:162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" filled="f" stroked="f">
                <v:textbox>
                  <w:txbxContent>
                    <w:p w:rsidR="00A31B0F" w:rsidRDefault="00A31B0F" w:rsidP="00A31B0F"/>
                  </w:txbxContent>
                </v:textbox>
              </v:shape>
            </w:pict>
          </mc:Fallback>
        </mc:AlternateContent>
      </w:r>
    </w:p>
    <w:p w:rsidR="00A31B0F" w:rsidRDefault="00A31B0F" w:rsidP="00A31B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</w:p>
    <w:p w:rsidR="00BE663D" w:rsidRDefault="00BE663D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ORDENANZA MUNICIPAL REGULADORA DE LA EXPEDICIÓN DE TARJETAS DE APARCAMIENTO</w:t>
      </w:r>
      <w:r w:rsid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PARA</w:t>
      </w: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PERSONAS CON MOVILIDAD REDUCIDA</w:t>
      </w:r>
      <w:bookmarkStart w:id="0" w:name="_GoBack"/>
      <w:bookmarkEnd w:id="0"/>
    </w:p>
    <w:p w:rsidR="00A31B0F" w:rsidRPr="00B37D43" w:rsidRDefault="00A31B0F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gramStart"/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CAPÍTULO  I</w:t>
      </w:r>
      <w:proofErr w:type="gramEnd"/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1.- Objeto.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Esta Ordenanza tiene por objeto estructuras y fijar los criterios y el procedimiento para la concesión de tarjetas de aparcamiento para personas con movilidad reducida de conformidad con lo dispuesto en el art. 58 del Decreto 153/1997, de 22 de diciembre, por el que se aprueba el Reglamento de la Ley de Promoción de la Accesibilidad en Extremadura (Ley 11/2014, de 9 de diciembre, de accesibilidad universal en Extremadura), en el ámbito del municipio de Mesas de Ibor tendente a definir unos objetivos y garantizar a los ciudadanos y entidades, en igualdad de condiciones, el acceso a estas prestaciones.</w:t>
      </w:r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2.- Concepto de persona con movilidad reducida.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los efectos de esta Ordenanza, se entiende por persona con movilidad reducida, aquellas que bien temporal o permanentemente tienen limitada su capacidad de movilidad, teniendo dificultades para moverse y/o desplazarse, y que previamente han sido calificados como personas con discapacidad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órganos competentes de la Administración General del Estado o de la Comunidad Autónoma de Extremadura.</w:t>
      </w:r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3.- Normas de concesión.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otorgamiento de las tarjetas de aparcamiento se atendrá a estas normas: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A.- Tendrá carácter rogado, excepto lo que se disponga en esta ordenanza.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B.- Podrá ser invocado como precedente</w:t>
      </w:r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4.- Actos nulos.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Serán nulos los acuerdos o resoluciones de concesión de tarjetas de aparcamiento que obedezcan a mera liberalidad y no se hayan concedido con arreglo a las condiciones y requisitos de este Ordenanza.</w:t>
      </w: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31B0F" w:rsidRPr="00B37D43" w:rsidRDefault="00A31B0F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gramStart"/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CAPÍTULO  II</w:t>
      </w:r>
      <w:proofErr w:type="gramEnd"/>
    </w:p>
    <w:p w:rsidR="00A31B0F" w:rsidRPr="00B37D43" w:rsidRDefault="00A31B0F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5.- Peticionarios</w:t>
      </w:r>
    </w:p>
    <w:p w:rsidR="00B37D43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Podrá solicitar la Tarjeta de Aparcamiento las personas físicas, empadronadas en el municipio de Mesas de Ibor (Cáceres) con un grado de discapacidad igual o superior al </w:t>
      </w:r>
    </w:p>
    <w:p w:rsidR="00B37D43" w:rsidRDefault="00B37D43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31B0F" w:rsidRDefault="00A31B0F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33 por 100 y además con limitaciones de movilidad acreditada mediante certificación expedida p</w:t>
      </w:r>
      <w:r w:rsidR="00AB5AD9">
        <w:rPr>
          <w:rFonts w:ascii="Times New Roman" w:eastAsia="Times New Roman" w:hAnsi="Times New Roman" w:cs="Times New Roman"/>
          <w:sz w:val="24"/>
          <w:szCs w:val="24"/>
          <w:lang w:eastAsia="es-ES"/>
        </w:rPr>
        <w:t>or los órganos competentes de la Comunidad Autónoma de Extremadura, así como las dedicadas al transporte de este tipo de personas que se hallen domiciliadas en este municipio.</w:t>
      </w:r>
    </w:p>
    <w:p w:rsidR="00AB5AD9" w:rsidRDefault="00AB5AD9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B5AD9" w:rsidRPr="00B37D43" w:rsidRDefault="00AB5AD9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CAPÍTULO III</w:t>
      </w:r>
    </w:p>
    <w:p w:rsidR="00AB5AD9" w:rsidRPr="00B37D43" w:rsidRDefault="00AB5AD9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PROCEDIMIENTO</w:t>
      </w:r>
    </w:p>
    <w:p w:rsidR="00AB5AD9" w:rsidRPr="00B37D43" w:rsidRDefault="00AB5AD9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6.- Órgano competente.</w:t>
      </w:r>
    </w:p>
    <w:p w:rsidR="00AB5AD9" w:rsidRDefault="00AB5AD9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Alcaldía es el órgano competente para conceder las referidas tarjetas de aparcamiento.</w:t>
      </w:r>
    </w:p>
    <w:p w:rsidR="00AB5AD9" w:rsidRPr="00B37D43" w:rsidRDefault="00AB5AD9" w:rsidP="00A31B0F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7.- Solicitudes.</w:t>
      </w:r>
    </w:p>
    <w:p w:rsidR="00AB5AD9" w:rsidRDefault="00AB5AD9" w:rsidP="00A31B0F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Las solicitudes se presentarán en el Registro General del Ayuntamiento de Mesas de Ibor, o por cualquiera de los medios previstos en la Ley 30/1992, de 26 de noviembre de Régimen Jurídico de las Administraciones Públicas y del procedimiento Administrativo Común, y a la que se acompañará la siguiente documentación:</w:t>
      </w:r>
    </w:p>
    <w:p w:rsidR="00AB5AD9" w:rsidRPr="002633CE" w:rsidRDefault="00AB5AD9" w:rsidP="002633CE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33CE">
        <w:rPr>
          <w:rFonts w:ascii="Times New Roman" w:eastAsia="Times New Roman" w:hAnsi="Times New Roman" w:cs="Times New Roman"/>
          <w:sz w:val="24"/>
          <w:szCs w:val="24"/>
          <w:lang w:eastAsia="es-ES"/>
        </w:rPr>
        <w:t>Fotocopia compulsada del DNI y NIF del solicitante, y en su caso, del representante legal de la persona física.</w:t>
      </w:r>
    </w:p>
    <w:p w:rsidR="00AB5AD9" w:rsidRDefault="00AB5AD9" w:rsidP="00AB5AD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Certificado de empadronamiento y convivencia</w:t>
      </w:r>
    </w:p>
    <w:p w:rsidR="00AB5AD9" w:rsidRDefault="00AB5AD9" w:rsidP="00AB5AD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Certificado expedido por el órgano competente donde se indique la condición de minusválido del solicitante, su grado de discapacidad y movilidad, así como discapacidad que padece y si es definitiva o reversible.</w:t>
      </w:r>
    </w:p>
    <w:p w:rsidR="00AB5AD9" w:rsidRDefault="00AB5AD9" w:rsidP="00AB5AD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Fotografía tamaño carné.</w:t>
      </w:r>
    </w:p>
    <w:p w:rsidR="00AB5AD9" w:rsidRDefault="00AB5AD9" w:rsidP="00AB5A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el caso que el solicitante sea una persona jurídica a las que se hace referencia en el número 3 del artículo 58 del Decreto 153/1997, deberá presentar además del documento a</w:t>
      </w:r>
      <w:r w:rsidR="002633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hace referencia la letra d</w:t>
      </w:r>
      <w:proofErr w:type="gramStart"/>
      <w:r w:rsidR="002633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apartado anterior</w:t>
      </w:r>
      <w:r w:rsidR="002633CE">
        <w:rPr>
          <w:rFonts w:ascii="Times New Roman" w:eastAsia="Times New Roman" w:hAnsi="Times New Roman" w:cs="Times New Roman"/>
          <w:sz w:val="24"/>
          <w:szCs w:val="24"/>
          <w:lang w:eastAsia="es-ES"/>
        </w:rPr>
        <w:t>, los siguientes:</w:t>
      </w:r>
    </w:p>
    <w:p w:rsidR="002633CE" w:rsidRDefault="002633CE" w:rsidP="002633C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Documento nacional de identidad de quien ostente la representación</w:t>
      </w:r>
    </w:p>
    <w:p w:rsidR="002633CE" w:rsidRDefault="002633CE" w:rsidP="002633C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Escritura de constitución o modificación en su caso de la Seguridad Mercantil, debidamente inscrita en el Registro Mercantil, cuando este requisito fuere exigible conforme a la legislación mercantil que le sea aplicable. Si no lo fuere, la acreditación de la personalidad se realizará mediante escritura o documento de constitución, estatutos o acta fundacional, en el que constaran las norman por la que regula su actividad, inscritos, en su caso, en el correspondiente Registro Oficial.</w:t>
      </w:r>
    </w:p>
    <w:p w:rsidR="002633CE" w:rsidRDefault="002633CE" w:rsidP="002633C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Fotocopia compulsada del Código de Identificación Fiscal.</w:t>
      </w:r>
    </w:p>
    <w:p w:rsidR="002633CE" w:rsidRDefault="002633CE" w:rsidP="002633C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Fotocopia compulsada del permiso de circulación y de la tarjeta de ITV</w:t>
      </w:r>
    </w:p>
    <w:p w:rsidR="002633CE" w:rsidRDefault="002633CE" w:rsidP="002633C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Relación de matrículas de los vehículos habilitados para transportar a las personas con movilidad reducida.</w:t>
      </w:r>
    </w:p>
    <w:p w:rsidR="00B37D43" w:rsidRDefault="00B37D43" w:rsidP="00B37D4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B37D4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B37D4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633CE" w:rsidRPr="00B37D43" w:rsidRDefault="002633CE" w:rsidP="002633CE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Artículo 8.- Subsanación</w:t>
      </w:r>
    </w:p>
    <w:p w:rsidR="002633CE" w:rsidRDefault="002633CE" w:rsidP="002633C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 la solicitud no reúne los requisitos exigidos o no se acompañan los documentos señalados se requerirá al interesado para que en el plazo de diez días subsane las deficiencias encontradas, o en su caso, acompañe los documentos preceptivos, con la advertencia de que si así no lo hiciera se le tendrá por desistido de su petición y se procederá a su archivo.</w:t>
      </w:r>
    </w:p>
    <w:p w:rsidR="002633CE" w:rsidRPr="00B37D43" w:rsidRDefault="002633CE" w:rsidP="002633CE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9.- Inspección</w:t>
      </w:r>
    </w:p>
    <w:p w:rsidR="002633CE" w:rsidRDefault="002633CE" w:rsidP="002633C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interesado facilitará las inspecciones y actos de investigación y control que el Ayuntamiento disponga a través de su Servicios técnicos y estará obligado a aportar los documentos que se le requieran en orden a la determinación y comprobación de los datos en virtud de los cuales deba producirse la resolución.</w:t>
      </w:r>
    </w:p>
    <w:p w:rsidR="002633CE" w:rsidRPr="00B37D43" w:rsidRDefault="002633CE" w:rsidP="002633CE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Articulo 10.- Resolución</w:t>
      </w:r>
    </w:p>
    <w:p w:rsidR="002633CE" w:rsidRDefault="002633CE" w:rsidP="002633C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Alcaldía adoptará el a</w:t>
      </w:r>
      <w:r w:rsidR="00B37D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cuerdo de concesión procedente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concediendo o desestimando la tarjeta, resolución que podrá ser objeto de impugnación con arreglo al régimen general legalmente establecido al efecto.</w:t>
      </w:r>
    </w:p>
    <w:p w:rsidR="002633CE" w:rsidRPr="00B37D43" w:rsidRDefault="002633CE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CAPÍTULO IV</w:t>
      </w:r>
    </w:p>
    <w:p w:rsidR="002633CE" w:rsidRPr="00B37D43" w:rsidRDefault="002633CE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CONDICIONES DE USO DE LA TARJETA</w:t>
      </w:r>
    </w:p>
    <w:p w:rsidR="00B37D43" w:rsidRDefault="002633CE" w:rsidP="002633CE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11.-</w:t>
      </w:r>
    </w:p>
    <w:p w:rsidR="002633CE" w:rsidRDefault="002633CE" w:rsidP="002633CE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condiciones de </w:t>
      </w:r>
      <w:r w:rsidR="007716D2">
        <w:rPr>
          <w:rFonts w:ascii="Times New Roman" w:eastAsia="Times New Roman" w:hAnsi="Times New Roman" w:cs="Times New Roman"/>
          <w:sz w:val="24"/>
          <w:szCs w:val="24"/>
          <w:lang w:eastAsia="es-ES"/>
        </w:rPr>
        <w:t>uso de la tarjeta de aparcamie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nto para personas con movilidad reducida, serán las siguiente</w:t>
      </w:r>
      <w:r w:rsidR="007716D2">
        <w:rPr>
          <w:rFonts w:ascii="Times New Roman" w:eastAsia="Times New Roman" w:hAnsi="Times New Roman" w:cs="Times New Roman"/>
          <w:sz w:val="24"/>
          <w:szCs w:val="24"/>
          <w:lang w:eastAsia="es-ES"/>
        </w:rPr>
        <w:t>s: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tarjeta será personas e intransferible y acreditará a su titular para el disfrute de los derechos y facilidades en el aparcamiento y estacionamiento para las personas con movilidad reducida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tarjeta de aparcamiento permitirá al titular que su vehículo ocupe una de las plazas reservadas a personas con movilidad reducida en los lugares señalados al efecto.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tarjeta de aparcamiento permitirá a sus titulares estacionar sus vehículos sin limitación de tiempo en aquellos lugares con tiempo limitado. Este mismo beneficio se aplicará a aquellos aparcamientos señalados como “zona azul” 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tarjeta de aparcamiento será válida en todo el territorio de la Comunidad autónoma de Extremadura.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el titular de la tarjeta sea una persona física podrá utilizarla en cualquier vehículo en que se traslada, sea o no de su propiedad y sea el titular de la tarjeta el conductor o no del vehículo.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el titular de la tarjeta sea una persona jurídica, deberá incluir la o las matrículas habilitadas para transportar a las personas con movilidad reducida.</w:t>
      </w:r>
    </w:p>
    <w:p w:rsidR="007716D2" w:rsidRDefault="007716D2" w:rsidP="007716D2">
      <w:pPr>
        <w:pStyle w:val="Prrafodelist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tarjeta ajustada al modelo oficial establecido por el órgano competente de la Comunidad Autónoma de Extremadura deberá colocarse en lugar bien visible del vehículo.</w:t>
      </w:r>
    </w:p>
    <w:p w:rsidR="007716D2" w:rsidRPr="00B37D43" w:rsidRDefault="007716D2" w:rsidP="007716D2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13.- Vigencia de la Tarjeta.</w:t>
      </w:r>
    </w:p>
    <w:p w:rsidR="007716D2" w:rsidRDefault="007716D2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Para aquellos titulares que tengan reconocida una minusvalía con carácter definitivo, la tarjera será de vigencia indefinida, salvo que varíen las circunstancias del individuo o las características de la tarjeta se modificasen por el órgano competente de la Comunidad autónoma de Extremadura.</w:t>
      </w:r>
    </w:p>
    <w:p w:rsidR="007716D2" w:rsidRDefault="007716D2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Para los titulares que tengan reconocida una discapacidad temporal, el período de vigencia de la tarjeta será el establecido en el propio certificado de minusvalía.</w:t>
      </w:r>
    </w:p>
    <w:p w:rsidR="007716D2" w:rsidRPr="00B37D43" w:rsidRDefault="007716D2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CAPÍTULO V</w:t>
      </w:r>
    </w:p>
    <w:p w:rsidR="007716D2" w:rsidRPr="00B37D43" w:rsidRDefault="007716D2" w:rsidP="00B37D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INFRACCIONES Y PENALIDADES</w:t>
      </w:r>
    </w:p>
    <w:p w:rsidR="007716D2" w:rsidRPr="00B37D43" w:rsidRDefault="007716D2" w:rsidP="007716D2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14.- </w:t>
      </w:r>
    </w:p>
    <w:p w:rsidR="007716D2" w:rsidRDefault="007716D2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uso indebido de la tarjeta de aparcamiento por persona no autorizada o el incumplimiento de cualesquiera de los preceptos de esta ordenanza, podrá dar lugar a la anulac</w:t>
      </w:r>
      <w:r w:rsidR="00B37D43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ón de la misma previo expediente tramitado con arreglo a las normas establecidas en el Real Decreto 1398/1993, de 4 de agosto, por el que se aprueba el Reglamento del Procedimiento para el ejercicio de la Potestad Sancionadora.</w:t>
      </w:r>
    </w:p>
    <w:p w:rsidR="007716D2" w:rsidRDefault="007716D2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7D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15.-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 no previsto por la ordenanza serán de aplicación las normas generales reguladoras del procedimiento administrativo.</w:t>
      </w: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presente ordenanza, que consta de 15 artículos, entrará en vigor cuando sea aprobada definitivamente y publicado su texto íntegro en el Boletín Oficial de la Provincia.</w:t>
      </w: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Mesas de Ibor a 18 diciembre de 2019</w:t>
      </w: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El Alcalde</w:t>
      </w: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37D43" w:rsidRPr="007716D2" w:rsidRDefault="00B37D43" w:rsidP="007716D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Fdo.: Desiderio Montesino Manglano</w:t>
      </w:r>
    </w:p>
    <w:sectPr w:rsidR="00B37D43" w:rsidRPr="00771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C0774"/>
    <w:multiLevelType w:val="hybridMultilevel"/>
    <w:tmpl w:val="796237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216B"/>
    <w:multiLevelType w:val="hybridMultilevel"/>
    <w:tmpl w:val="19E6DEB4"/>
    <w:lvl w:ilvl="0" w:tplc="42E0FB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97962"/>
    <w:multiLevelType w:val="hybridMultilevel"/>
    <w:tmpl w:val="20BE8444"/>
    <w:lvl w:ilvl="0" w:tplc="A19A3DF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F"/>
    <w:rsid w:val="002633CE"/>
    <w:rsid w:val="007716D2"/>
    <w:rsid w:val="00A31B0F"/>
    <w:rsid w:val="00AB5AD9"/>
    <w:rsid w:val="00B37D43"/>
    <w:rsid w:val="00BE663D"/>
    <w:rsid w:val="00D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AE51"/>
  <w15:chartTrackingRefBased/>
  <w15:docId w15:val="{88D8EF1E-0DB0-4A94-B857-8A2D4AC8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B0F"/>
    <w:pPr>
      <w:spacing w:before="0"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40D13"/>
    <w:pPr>
      <w:keepNext/>
      <w:spacing w:before="-1" w:after="-1" w:line="240" w:lineRule="auto"/>
      <w:jc w:val="both"/>
      <w:outlineLvl w:val="0"/>
    </w:pPr>
    <w:rPr>
      <w:rFonts w:ascii="Courier 10cpi" w:eastAsia="Times New Roman" w:hAnsi="Courier 10cpi" w:cs="Times New Roman"/>
      <w:sz w:val="24"/>
      <w:szCs w:val="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40D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D40D1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D40D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40D13"/>
    <w:rPr>
      <w:rFonts w:ascii="Courier 10cpi" w:hAnsi="Courier 10cpi"/>
      <w:sz w:val="24"/>
      <w:szCs w:val="2"/>
      <w:lang w:val="es-ES_tradnl"/>
    </w:rPr>
  </w:style>
  <w:style w:type="character" w:customStyle="1" w:styleId="Ttulo3Car">
    <w:name w:val="Título 3 Car"/>
    <w:basedOn w:val="Fuentedeprrafopredeter"/>
    <w:link w:val="Ttulo3"/>
    <w:rsid w:val="00D40D13"/>
    <w:rPr>
      <w:rFonts w:ascii="Arial" w:hAnsi="Arial" w:cs="Arial"/>
      <w:b/>
      <w:bCs/>
      <w:sz w:val="26"/>
      <w:szCs w:val="26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D40D13"/>
    <w:rPr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40D13"/>
    <w:rPr>
      <w:i/>
      <w:iCs/>
      <w:sz w:val="24"/>
      <w:szCs w:val="24"/>
      <w:lang w:eastAsia="es-ES"/>
    </w:rPr>
  </w:style>
  <w:style w:type="character" w:styleId="Textoennegrita">
    <w:name w:val="Strong"/>
    <w:qFormat/>
    <w:rsid w:val="00D40D13"/>
    <w:rPr>
      <w:b/>
      <w:bCs/>
    </w:rPr>
  </w:style>
  <w:style w:type="paragraph" w:styleId="Prrafodelista">
    <w:name w:val="List Paragraph"/>
    <w:basedOn w:val="Normal"/>
    <w:uiPriority w:val="34"/>
    <w:qFormat/>
    <w:rsid w:val="00AB5A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D4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1216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2019-12-23T09:31:00Z</cp:lastPrinted>
  <dcterms:created xsi:type="dcterms:W3CDTF">2019-12-23T08:43:00Z</dcterms:created>
  <dcterms:modified xsi:type="dcterms:W3CDTF">2019-12-23T09:32:00Z</dcterms:modified>
</cp:coreProperties>
</file>